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331F" w14:textId="77777777" w:rsidR="00E46B78" w:rsidRDefault="00E46B78" w:rsidP="00E46B78">
      <w:pPr>
        <w:spacing w:after="280"/>
        <w:rPr>
          <w:rFonts w:ascii="Times New Roman" w:eastAsia="Times New Roman" w:hAnsi="Times New Roman" w:cs="Times New Roman"/>
          <w:b/>
          <w:color w:val="000000"/>
          <w:sz w:val="27"/>
          <w:szCs w:val="27"/>
        </w:rPr>
      </w:pPr>
      <w:r>
        <w:rPr>
          <w:rFonts w:ascii="Garamond" w:eastAsia="Garamond" w:hAnsi="Garamond" w:cs="Times New Roman"/>
          <w:b/>
          <w:color w:val="000000"/>
          <w:szCs w:val="27"/>
        </w:rPr>
        <w:t>Energiministern och Näringslivsministern måste skydda svenska elkunder från högre elpriser</w:t>
      </w:r>
    </w:p>
    <w:p w14:paraId="528EF7F0" w14:textId="20FA5D7B"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 xml:space="preserve">Sverige står inför en betydande förändring på energimarknaden med införandet av den </w:t>
      </w:r>
      <w:r>
        <w:rPr>
          <w:rFonts w:ascii="Garamond" w:eastAsia="Garamond" w:hAnsi="Garamond" w:cs="Times New Roman"/>
          <w:sz w:val="22"/>
        </w:rPr>
        <w:t>flödesbaserad kapacitet beräkningsmetoden,</w:t>
      </w:r>
      <w:r>
        <w:rPr>
          <w:rFonts w:ascii="Garamond" w:eastAsia="Garamond" w:hAnsi="Garamond" w:cs="Times New Roman"/>
          <w:color w:val="000000"/>
          <w:sz w:val="22"/>
        </w:rPr>
        <w:t xml:space="preserve"> planerad till oktober 2024. Baserat på min förståelse av den information jag har granskat, är syftet med denna metod att förbättra </w:t>
      </w:r>
      <w:r w:rsidR="00592524">
        <w:rPr>
          <w:rFonts w:ascii="Garamond" w:eastAsia="Garamond" w:hAnsi="Garamond" w:cs="Times New Roman"/>
          <w:color w:val="000000"/>
          <w:sz w:val="22"/>
        </w:rPr>
        <w:t>el överföringen</w:t>
      </w:r>
      <w:r>
        <w:rPr>
          <w:rFonts w:ascii="Garamond" w:eastAsia="Garamond" w:hAnsi="Garamond" w:cs="Times New Roman"/>
          <w:color w:val="000000"/>
          <w:sz w:val="22"/>
        </w:rPr>
        <w:t xml:space="preserve"> och integrera mer förnybar energi i det nordiska elsystemet. Men trots de positiva intentionerna kan denna förändring få allvarliga konsekvenser för svenska hushåll och företag, med betydande prishöjningar som följd. Energiminister och näringslivsminister, det är dags att ni agerar för att skydda Sveriges elkunder från de potentiella negativa effekterna av denna metod.</w:t>
      </w:r>
    </w:p>
    <w:p w14:paraId="51CA9D8F" w14:textId="77777777" w:rsidR="00E46B78" w:rsidRDefault="00E46B78" w:rsidP="00E46B78">
      <w:pPr>
        <w:spacing w:before="280" w:after="280"/>
        <w:rPr>
          <w:rFonts w:ascii="Times New Roman" w:eastAsia="Times New Roman" w:hAnsi="Times New Roman" w:cs="Times New Roman"/>
          <w:b/>
          <w:color w:val="000000"/>
          <w:sz w:val="27"/>
          <w:szCs w:val="27"/>
        </w:rPr>
      </w:pPr>
      <w:r>
        <w:rPr>
          <w:rFonts w:ascii="Garamond" w:eastAsia="Garamond" w:hAnsi="Garamond" w:cs="Times New Roman"/>
          <w:b/>
          <w:color w:val="000000"/>
          <w:szCs w:val="27"/>
        </w:rPr>
        <w:t xml:space="preserve">Varför den </w:t>
      </w:r>
      <w:r>
        <w:rPr>
          <w:rFonts w:ascii="Garamond" w:eastAsia="Garamond" w:hAnsi="Garamond" w:cs="Times New Roman"/>
          <w:b/>
          <w:szCs w:val="27"/>
        </w:rPr>
        <w:t>flödesbaserad</w:t>
      </w:r>
      <w:r>
        <w:rPr>
          <w:rFonts w:ascii="Garamond" w:eastAsia="Garamond" w:hAnsi="Garamond" w:cs="Times New Roman"/>
          <w:b/>
          <w:color w:val="000000"/>
          <w:szCs w:val="27"/>
        </w:rPr>
        <w:t xml:space="preserve"> metoden är problematisk för Sverige</w:t>
      </w:r>
    </w:p>
    <w:p w14:paraId="650B5BF3"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 xml:space="preserve">Den </w:t>
      </w:r>
      <w:r>
        <w:rPr>
          <w:rFonts w:ascii="Garamond" w:eastAsia="Garamond" w:hAnsi="Garamond" w:cs="Times New Roman"/>
          <w:sz w:val="22"/>
        </w:rPr>
        <w:t>flödesbaserad</w:t>
      </w:r>
      <w:r>
        <w:rPr>
          <w:rFonts w:ascii="Garamond" w:eastAsia="Garamond" w:hAnsi="Garamond" w:cs="Times New Roman"/>
          <w:color w:val="000000"/>
          <w:sz w:val="22"/>
        </w:rPr>
        <w:t xml:space="preserve"> </w:t>
      </w:r>
      <w:r>
        <w:rPr>
          <w:rFonts w:ascii="Garamond" w:eastAsia="Garamond" w:hAnsi="Garamond" w:cs="Times New Roman"/>
          <w:sz w:val="22"/>
        </w:rPr>
        <w:t>kapacitetsberäkningsmetoden</w:t>
      </w:r>
      <w:r>
        <w:rPr>
          <w:rFonts w:ascii="Garamond" w:eastAsia="Garamond" w:hAnsi="Garamond" w:cs="Times New Roman"/>
          <w:color w:val="000000"/>
          <w:sz w:val="22"/>
        </w:rPr>
        <w:t xml:space="preserve"> syftar till att optimera utnyttjandet av elnätets kapacitet genom att basera överföringen av el på den fysiska kapaciteten snarare än på ekonomiska modeller. Detta är en del av ett bredare europeiskt samarbete där Sverige, tillsammans med de andra nordiska länderna, har åtagit sig att följa EU</w:t>
      </w:r>
    </w:p>
    <w:p w14:paraId="7FD373C8" w14:textId="77777777" w:rsidR="00E46B78" w:rsidRDefault="00E46B78" w:rsidP="00E46B78">
      <w:pPr>
        <w:rPr>
          <w:rFonts w:ascii="Times New Roman" w:eastAsia="Times New Roman" w:hAnsi="Times New Roman" w:cs="Times New Roman"/>
        </w:rPr>
      </w:pPr>
      <w:r>
        <w:rPr>
          <w:rFonts w:ascii="Garamond" w:eastAsia="Garamond" w:hAnsi="Garamond" w:cs="-webkit-standard"/>
          <w:color w:val="000000"/>
          <w:sz w:val="22"/>
          <w:szCs w:val="27"/>
        </w:rPr>
        <w:t>förordningar från 2015. Redan nu har flera europeiska länder infört denna metod, och Sverige står på tur. Men vad innebär detta för svenska elkunder?</w:t>
      </w:r>
    </w:p>
    <w:p w14:paraId="6E0DBF2F" w14:textId="383AC921"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 xml:space="preserve">Modelleringar har visat att om metoden hade införts under perioden december 2022 till september 2023, skulle elpriserna i Sverige ha ökat med i genomsnitt 20 procent. Det är en oroande utveckling som inte kan ignoreras. I praktiken innebär detta att </w:t>
      </w:r>
      <w:r w:rsidR="00592524">
        <w:rPr>
          <w:rFonts w:ascii="Garamond" w:eastAsia="Garamond" w:hAnsi="Garamond" w:cs="Times New Roman"/>
          <w:color w:val="000000"/>
          <w:sz w:val="22"/>
        </w:rPr>
        <w:t>el områden</w:t>
      </w:r>
      <w:r>
        <w:rPr>
          <w:rFonts w:ascii="Garamond" w:eastAsia="Garamond" w:hAnsi="Garamond" w:cs="Times New Roman"/>
          <w:color w:val="000000"/>
          <w:sz w:val="22"/>
        </w:rPr>
        <w:t xml:space="preserve"> som redan har låga elpriser kommer att drabbas av höjningar, medan </w:t>
      </w:r>
      <w:proofErr w:type="gramStart"/>
      <w:r>
        <w:rPr>
          <w:rFonts w:ascii="Garamond" w:eastAsia="Garamond" w:hAnsi="Garamond" w:cs="Times New Roman"/>
          <w:color w:val="000000"/>
          <w:sz w:val="22"/>
        </w:rPr>
        <w:t>de områden</w:t>
      </w:r>
      <w:proofErr w:type="gramEnd"/>
      <w:r>
        <w:rPr>
          <w:rFonts w:ascii="Garamond" w:eastAsia="Garamond" w:hAnsi="Garamond" w:cs="Times New Roman"/>
          <w:color w:val="000000"/>
          <w:sz w:val="22"/>
        </w:rPr>
        <w:t xml:space="preserve"> med höga priser kan se en viss utjämning. För svenska hushåll och företag kan detta resultera i kraftigt ökade kostnader, särskilt under vintermånaderna när energibehovet är som störst.</w:t>
      </w:r>
    </w:p>
    <w:p w14:paraId="206C4DE9" w14:textId="77777777" w:rsidR="00E46B78" w:rsidRDefault="00E46B78" w:rsidP="00E46B78">
      <w:pPr>
        <w:spacing w:before="280" w:after="280"/>
        <w:rPr>
          <w:rFonts w:ascii="Times New Roman" w:eastAsia="Times New Roman" w:hAnsi="Times New Roman" w:cs="Times New Roman"/>
          <w:b/>
          <w:color w:val="000000"/>
          <w:sz w:val="27"/>
          <w:szCs w:val="27"/>
        </w:rPr>
      </w:pPr>
      <w:r>
        <w:rPr>
          <w:rFonts w:ascii="Garamond" w:eastAsia="Garamond" w:hAnsi="Garamond" w:cs="Times New Roman"/>
          <w:b/>
          <w:color w:val="000000"/>
          <w:szCs w:val="27"/>
        </w:rPr>
        <w:t>De ekonomiska konsekvenserna för hushåll och företag</w:t>
      </w:r>
    </w:p>
    <w:p w14:paraId="75F5A368"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För hushåll innebär högre elpriser inte bara större utgifter, utan också en påverkan på levnadsstandarden. Många familjer kan tvingas prioritera om i sina budgetar, vilket kan leda till minskad konsumtion av andra varor och tjänster. Detta i sin tur påverkar den svenska ekonomin negativt, då minskad konsumtion ofta leder till en långsammare ekonomisk tillväxt.</w:t>
      </w:r>
    </w:p>
    <w:p w14:paraId="6B8ABCB9"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För företag, särskilt inom industrin där energiförbrukningen är hög, kan de ökade elpriserna leda till betydligt högre produktionskostnader. Detta minskar deras konkurrenskraft, både på den inhemska och internationella marknaden. Företag som inte kan överföra kostnadsökningarna till sina kunder riskerar att förlora marknadsandelar, vilket kan leda till nedskärningar och i värsta fall, nedläggningar.</w:t>
      </w:r>
    </w:p>
    <w:p w14:paraId="4476ED6F" w14:textId="77777777" w:rsidR="00E46B78" w:rsidRDefault="00E46B78" w:rsidP="00E46B78">
      <w:pPr>
        <w:spacing w:before="280" w:after="280"/>
        <w:rPr>
          <w:rFonts w:ascii="Times New Roman" w:eastAsia="Times New Roman" w:hAnsi="Times New Roman" w:cs="Times New Roman"/>
          <w:b/>
          <w:color w:val="000000"/>
          <w:sz w:val="27"/>
          <w:szCs w:val="27"/>
        </w:rPr>
      </w:pPr>
      <w:r>
        <w:rPr>
          <w:rFonts w:ascii="Garamond" w:eastAsia="Garamond" w:hAnsi="Garamond" w:cs="Times New Roman"/>
          <w:b/>
          <w:color w:val="000000"/>
          <w:szCs w:val="27"/>
        </w:rPr>
        <w:t>Risker för den svenska ekonomin och energifattigdom</w:t>
      </w:r>
    </w:p>
    <w:p w14:paraId="217F8847"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 xml:space="preserve">De kommande höga elpriserna kan också bidra </w:t>
      </w:r>
      <w:r>
        <w:rPr>
          <w:rFonts w:ascii="Garamond" w:eastAsia="Garamond" w:hAnsi="Garamond" w:cs="Times New Roman"/>
          <w:sz w:val="22"/>
        </w:rPr>
        <w:t>till ökad</w:t>
      </w:r>
      <w:r>
        <w:rPr>
          <w:rFonts w:ascii="Garamond" w:eastAsia="Garamond" w:hAnsi="Garamond" w:cs="Times New Roman"/>
          <w:color w:val="000000"/>
          <w:sz w:val="22"/>
        </w:rPr>
        <w:t xml:space="preserve"> inflation, vilket påverkar hela ekonomin. När kostnaderna för varor och tjänster stiger, drabbas alla delar av samhället. För de mest sårbara hushållen kan detta leda till energifattigdom, där en stor del av inkomsten går åt till att betala för energi, vilket minskar deras möjlighet att tillgodose andra grundläggande behov.</w:t>
      </w:r>
    </w:p>
    <w:p w14:paraId="349BD42D" w14:textId="77777777" w:rsidR="00E46B78" w:rsidRDefault="00E46B78" w:rsidP="00E46B78">
      <w:pPr>
        <w:spacing w:before="280" w:after="280"/>
        <w:rPr>
          <w:rFonts w:ascii="Times New Roman" w:eastAsia="Times New Roman" w:hAnsi="Times New Roman" w:cs="Times New Roman"/>
          <w:b/>
          <w:color w:val="000000"/>
          <w:sz w:val="27"/>
          <w:szCs w:val="27"/>
        </w:rPr>
      </w:pPr>
      <w:r>
        <w:rPr>
          <w:rFonts w:ascii="Garamond" w:eastAsia="Garamond" w:hAnsi="Garamond" w:cs="Times New Roman"/>
          <w:b/>
          <w:color w:val="000000"/>
          <w:szCs w:val="27"/>
        </w:rPr>
        <w:t>Investeringar i förnybar energi – en lösning eller en utmaning?</w:t>
      </w:r>
    </w:p>
    <w:p w14:paraId="592787A8"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Det har föreslagits att de högre elpriserna kan fungera som en drivkraft för både hushåll och företag att investera i förnybara energikällor, såsom solceller. Medan detta kan vara en långsiktig lösning för att minska beroendet av köpt el, är det inte en omedelbar lösning på de problem som uppstår från prishöjningarna. Investeringar i förnybar energi kräver kapital och tid, något som många hushåll och företag kanske inte har i överflöd just nu.</w:t>
      </w:r>
    </w:p>
    <w:p w14:paraId="5C8C128B" w14:textId="77777777" w:rsidR="00E46B78" w:rsidRDefault="00E46B78" w:rsidP="00E46B78">
      <w:pPr>
        <w:spacing w:before="280" w:after="280"/>
        <w:rPr>
          <w:rFonts w:ascii="Times New Roman" w:eastAsia="Times New Roman" w:hAnsi="Times New Roman" w:cs="Times New Roman"/>
          <w:b/>
          <w:color w:val="000000"/>
          <w:sz w:val="27"/>
          <w:szCs w:val="27"/>
        </w:rPr>
      </w:pPr>
      <w:r>
        <w:rPr>
          <w:rFonts w:ascii="Garamond" w:eastAsia="Garamond" w:hAnsi="Garamond" w:cs="Times New Roman"/>
          <w:b/>
          <w:color w:val="000000"/>
          <w:szCs w:val="27"/>
        </w:rPr>
        <w:lastRenderedPageBreak/>
        <w:t>Uppmaning: Regeringen måste agera nu</w:t>
      </w:r>
    </w:p>
    <w:p w14:paraId="04B04886"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 xml:space="preserve">Energiministern och näringslivsministern måste agera innan den </w:t>
      </w:r>
      <w:r>
        <w:rPr>
          <w:rFonts w:ascii="Garamond" w:eastAsia="Garamond" w:hAnsi="Garamond" w:cs="Times New Roman"/>
          <w:sz w:val="22"/>
        </w:rPr>
        <w:t>flödesbaserad</w:t>
      </w:r>
      <w:r>
        <w:rPr>
          <w:rFonts w:ascii="Garamond" w:eastAsia="Garamond" w:hAnsi="Garamond" w:cs="Times New Roman"/>
          <w:color w:val="000000"/>
          <w:sz w:val="22"/>
        </w:rPr>
        <w:t xml:space="preserve"> </w:t>
      </w:r>
      <w:r>
        <w:rPr>
          <w:rFonts w:ascii="Garamond" w:eastAsia="Garamond" w:hAnsi="Garamond" w:cs="Times New Roman"/>
          <w:sz w:val="22"/>
        </w:rPr>
        <w:t>kapacitetsberäkning metoden</w:t>
      </w:r>
      <w:r>
        <w:rPr>
          <w:rFonts w:ascii="Garamond" w:eastAsia="Garamond" w:hAnsi="Garamond" w:cs="Times New Roman"/>
          <w:color w:val="000000"/>
          <w:sz w:val="22"/>
        </w:rPr>
        <w:t xml:space="preserve"> implementeras. Det är avgörande att konsekvenserna av denna metod granskas noggrant och att åtgärder vidtas för att skydda svenska hushåll och företag från ytterligare </w:t>
      </w:r>
      <w:r>
        <w:rPr>
          <w:rFonts w:ascii="Garamond" w:eastAsia="Garamond" w:hAnsi="Garamond" w:cs="Times New Roman"/>
          <w:sz w:val="22"/>
        </w:rPr>
        <w:t>oljepriser.</w:t>
      </w:r>
      <w:r>
        <w:rPr>
          <w:rFonts w:ascii="Garamond" w:eastAsia="Garamond" w:hAnsi="Garamond" w:cs="Times New Roman"/>
          <w:color w:val="000000"/>
          <w:sz w:val="22"/>
        </w:rPr>
        <w:t xml:space="preserve"> Regeringen måste se till att Sveriges intressen inte offras i ett försök att harmonisera den europeiska energimarknaden. Vi behöver en balans mellan internationella åtaganden och nationella behov, och just nu är våra behov i fara.</w:t>
      </w:r>
    </w:p>
    <w:p w14:paraId="79DAF0FA"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Att ignorera dessa problem är inte ett alternativ. Regeringen måste visa att den står på svenska elkunders sida och arbeta för att säkerställa att de inte drabbas av ytterligare ekonomiska påfrestningar på grund av höjda elpriser. Sveriges energipolitik måste vara både hållbar och rättvis, och det är regeringens ansvar att se till att så sker.</w:t>
      </w:r>
    </w:p>
    <w:p w14:paraId="5F5B9EC7" w14:textId="77777777" w:rsidR="00E46B78" w:rsidRDefault="00E46B78" w:rsidP="00E46B78">
      <w:pPr>
        <w:spacing w:before="280" w:after="280"/>
        <w:rPr>
          <w:rFonts w:ascii="Times New Roman" w:eastAsia="Times New Roman" w:hAnsi="Times New Roman" w:cs="Times New Roman"/>
          <w:color w:val="000000"/>
        </w:rPr>
      </w:pPr>
      <w:r>
        <w:rPr>
          <w:rFonts w:ascii="Garamond" w:eastAsia="Garamond" w:hAnsi="Garamond" w:cs="Times New Roman"/>
          <w:color w:val="000000"/>
          <w:sz w:val="22"/>
        </w:rPr>
        <w:t>Dessa frågor speglar den oro som jag, svenska folket och företagare har inför de förestående förändringarna på energimarknaden och de potentiella konsekvenserna för elpriser och levnadskostnader. Vi ser fram emot era svar och de åtgärder ni planerar att vidta för att skydda våra intressen.</w:t>
      </w:r>
    </w:p>
    <w:p w14:paraId="58E73127" w14:textId="1B6F2C15" w:rsidR="00E46B78" w:rsidRPr="00E46B78" w:rsidRDefault="00E46B78" w:rsidP="00E46B78">
      <w:pPr>
        <w:pStyle w:val="Liststycke"/>
        <w:numPr>
          <w:ilvl w:val="0"/>
          <w:numId w:val="1"/>
        </w:numPr>
        <w:pBdr>
          <w:top w:val="nil"/>
          <w:left w:val="nil"/>
          <w:bottom w:val="nil"/>
          <w:right w:val="nil"/>
          <w:between w:val="nil"/>
        </w:pBdr>
        <w:rPr>
          <w:rFonts w:ascii="Times New Roman" w:eastAsia="Times New Roman" w:hAnsi="Times New Roman" w:cs="Times New Roman"/>
          <w:b/>
          <w:color w:val="000000"/>
        </w:rPr>
      </w:pPr>
      <w:r w:rsidRPr="00E46B78">
        <w:rPr>
          <w:rFonts w:ascii="Garamond" w:eastAsia="Garamond" w:hAnsi="Garamond" w:cs="Times New Roman"/>
          <w:color w:val="000000"/>
          <w:sz w:val="22"/>
        </w:rPr>
        <w:t>Vilka konkreta åtgärder planerar ni att vidta för att skydda svenska hushåll och företag från de potentiella prishöjningar som kan uppstå till följd av den flödesbaserade kapacitetsberäkningsmetoden?</w:t>
      </w:r>
    </w:p>
    <w:p w14:paraId="38557E7C" w14:textId="6B8B24BB" w:rsidR="00E46B78" w:rsidRPr="00E46B78" w:rsidRDefault="00E46B78" w:rsidP="00E46B78">
      <w:pPr>
        <w:pStyle w:val="Liststycke"/>
        <w:numPr>
          <w:ilvl w:val="0"/>
          <w:numId w:val="1"/>
        </w:numPr>
        <w:pBdr>
          <w:top w:val="nil"/>
          <w:left w:val="nil"/>
          <w:bottom w:val="nil"/>
          <w:right w:val="nil"/>
          <w:between w:val="nil"/>
        </w:pBdr>
        <w:rPr>
          <w:rFonts w:ascii="Times New Roman" w:eastAsia="Times New Roman" w:hAnsi="Times New Roman" w:cs="Times New Roman"/>
          <w:b/>
          <w:color w:val="000000"/>
        </w:rPr>
      </w:pPr>
      <w:r w:rsidRPr="00E46B78">
        <w:rPr>
          <w:rFonts w:ascii="Garamond" w:eastAsia="Garamond" w:hAnsi="Garamond" w:cs="Times New Roman"/>
          <w:color w:val="000000"/>
          <w:sz w:val="22"/>
        </w:rPr>
        <w:t>Hur kommer ni att säkerställa att implementeringen av denna metod inte leder till ökad energifattigdom i Sverige, särskilt bland de mest sårbara grupperna?</w:t>
      </w:r>
    </w:p>
    <w:p w14:paraId="42E2224E" w14:textId="540E9C5B" w:rsidR="00E46B78" w:rsidRPr="00E46B78" w:rsidRDefault="00E46B78" w:rsidP="00E46B78">
      <w:pPr>
        <w:pStyle w:val="Liststycke"/>
        <w:numPr>
          <w:ilvl w:val="0"/>
          <w:numId w:val="1"/>
        </w:numPr>
        <w:pBdr>
          <w:top w:val="nil"/>
          <w:left w:val="nil"/>
          <w:bottom w:val="nil"/>
          <w:right w:val="nil"/>
          <w:between w:val="nil"/>
        </w:pBdr>
        <w:rPr>
          <w:rFonts w:ascii="Times New Roman" w:eastAsia="Times New Roman" w:hAnsi="Times New Roman" w:cs="Times New Roman"/>
          <w:b/>
          <w:color w:val="000000"/>
        </w:rPr>
      </w:pPr>
      <w:r w:rsidRPr="00E46B78">
        <w:rPr>
          <w:rFonts w:ascii="Garamond" w:eastAsia="Garamond" w:hAnsi="Garamond" w:cs="Times New Roman"/>
          <w:color w:val="000000"/>
          <w:sz w:val="22"/>
        </w:rPr>
        <w:t>Finns det en strategi på plats för att kompensera för de ökade kostnaderna som företag och hushåll kan möta, och hur planerar regeringen att stödja övergången till förnybar energi på ett sätt som är tillgängligt och överkomligt för alla?</w:t>
      </w:r>
    </w:p>
    <w:p w14:paraId="784ADA35" w14:textId="2AF4D935" w:rsidR="00E46B78" w:rsidRPr="00E46B78" w:rsidRDefault="00E46B78" w:rsidP="00E46B78">
      <w:pPr>
        <w:pStyle w:val="Liststycke"/>
        <w:numPr>
          <w:ilvl w:val="0"/>
          <w:numId w:val="1"/>
        </w:numPr>
        <w:pBdr>
          <w:top w:val="nil"/>
          <w:left w:val="nil"/>
          <w:bottom w:val="nil"/>
          <w:right w:val="nil"/>
          <w:between w:val="nil"/>
        </w:pBdr>
        <w:rPr>
          <w:rFonts w:ascii="Times New Roman" w:eastAsia="Times New Roman" w:hAnsi="Times New Roman" w:cs="Times New Roman"/>
          <w:b/>
          <w:color w:val="000000"/>
        </w:rPr>
      </w:pPr>
      <w:r w:rsidRPr="00E46B78">
        <w:rPr>
          <w:rFonts w:ascii="Garamond" w:eastAsia="Garamond" w:hAnsi="Garamond" w:cs="Times New Roman"/>
          <w:color w:val="000000"/>
          <w:sz w:val="22"/>
        </w:rPr>
        <w:t>Hur kommer ni att säkerställa att Sveriges nationella intressen och energibehov prioriteras i harmoniseringen av den europeiska energimarknaden?</w:t>
      </w:r>
    </w:p>
    <w:p w14:paraId="6AA21538" w14:textId="3EBC9E1F" w:rsidR="00E46B78" w:rsidRPr="00E46B78" w:rsidRDefault="00E46B78" w:rsidP="00E46B78">
      <w:pPr>
        <w:pStyle w:val="Liststycke"/>
        <w:numPr>
          <w:ilvl w:val="0"/>
          <w:numId w:val="1"/>
        </w:numPr>
        <w:pBdr>
          <w:top w:val="nil"/>
          <w:left w:val="nil"/>
          <w:bottom w:val="nil"/>
          <w:right w:val="nil"/>
          <w:between w:val="nil"/>
        </w:pBdr>
        <w:rPr>
          <w:rFonts w:ascii="Times New Roman" w:eastAsia="Times New Roman" w:hAnsi="Times New Roman" w:cs="Times New Roman"/>
          <w:b/>
          <w:color w:val="000000"/>
        </w:rPr>
      </w:pPr>
      <w:r w:rsidRPr="00E46B78">
        <w:rPr>
          <w:rFonts w:ascii="Garamond" w:eastAsia="Garamond" w:hAnsi="Garamond" w:cs="Times New Roman"/>
          <w:color w:val="000000"/>
          <w:sz w:val="22"/>
        </w:rPr>
        <w:t>Kan ni beskriva vilka analyser som har genomförts för att utvärdera de ekonomiska konsekvenserna av denna metod för svenska elkunder, och vilka slutsatser har dragits från dessa analyser?</w:t>
      </w:r>
    </w:p>
    <w:p w14:paraId="6714E9D2" w14:textId="4EA365A7" w:rsidR="00E46B78" w:rsidRPr="00E46B78" w:rsidRDefault="00E46B78" w:rsidP="00E46B78">
      <w:pPr>
        <w:pStyle w:val="Liststycke"/>
        <w:numPr>
          <w:ilvl w:val="0"/>
          <w:numId w:val="1"/>
        </w:numPr>
        <w:pBdr>
          <w:top w:val="nil"/>
          <w:left w:val="nil"/>
          <w:bottom w:val="nil"/>
          <w:right w:val="nil"/>
          <w:between w:val="nil"/>
        </w:pBdr>
        <w:rPr>
          <w:rFonts w:ascii="Times New Roman" w:eastAsia="Times New Roman" w:hAnsi="Times New Roman" w:cs="Times New Roman"/>
          <w:color w:val="000000"/>
        </w:rPr>
      </w:pPr>
      <w:r w:rsidRPr="00E46B78">
        <w:rPr>
          <w:rFonts w:ascii="Garamond" w:eastAsia="Garamond" w:hAnsi="Garamond" w:cs="Times New Roman"/>
          <w:color w:val="000000"/>
          <w:sz w:val="22"/>
        </w:rPr>
        <w:t>Är ni öppna för att ompröva eller anpassa implementeringen av den flödesbaserade kapacitetsberäkningsmetoden baserat på ytterligare dialog med berörda parter, inklusive hushåll, företag och experter inom energisektorn?</w:t>
      </w:r>
    </w:p>
    <w:p w14:paraId="285B0D62" w14:textId="77777777" w:rsidR="00E46B78" w:rsidRDefault="00E46B78" w:rsidP="00E46B78">
      <w:pPr>
        <w:pBdr>
          <w:top w:val="nil"/>
          <w:left w:val="nil"/>
          <w:bottom w:val="nil"/>
          <w:right w:val="nil"/>
          <w:between w:val="nil"/>
        </w:pBdr>
        <w:rPr>
          <w:rFonts w:ascii="Times New Roman" w:eastAsia="Times New Roman" w:hAnsi="Times New Roman" w:cs="Times New Roman"/>
          <w:b/>
          <w:color w:val="000000"/>
        </w:rPr>
      </w:pPr>
    </w:p>
    <w:p w14:paraId="1D002519" w14:textId="72A58245" w:rsidR="00E46B78" w:rsidRDefault="00E46B78" w:rsidP="00E46B78">
      <w:pPr>
        <w:pBdr>
          <w:top w:val="nil"/>
          <w:left w:val="nil"/>
          <w:bottom w:val="nil"/>
          <w:right w:val="nil"/>
          <w:between w:val="nil"/>
        </w:pBdr>
        <w:rPr>
          <w:rFonts w:ascii="Times New Roman" w:eastAsia="Times New Roman" w:hAnsi="Times New Roman" w:cs="Times New Roman"/>
          <w:b/>
          <w:color w:val="000000"/>
        </w:rPr>
      </w:pPr>
    </w:p>
    <w:p w14:paraId="60CB44B3" w14:textId="77777777" w:rsidR="00E46B78" w:rsidRDefault="00E46B78" w:rsidP="00E46B78">
      <w:pPr>
        <w:pBdr>
          <w:top w:val="nil"/>
          <w:left w:val="nil"/>
          <w:bottom w:val="nil"/>
          <w:right w:val="nil"/>
          <w:between w:val="nil"/>
        </w:pBdr>
        <w:rPr>
          <w:rFonts w:ascii="Times New Roman" w:eastAsia="Times New Roman" w:hAnsi="Times New Roman" w:cs="Times New Roman"/>
          <w:b/>
          <w:color w:val="000000"/>
        </w:rPr>
      </w:pPr>
    </w:p>
    <w:p w14:paraId="2BEE53AA" w14:textId="02BF6A79" w:rsidR="00E46B78" w:rsidRDefault="00E46B78" w:rsidP="00E46B78">
      <w:pPr>
        <w:pBdr>
          <w:top w:val="nil"/>
          <w:left w:val="nil"/>
          <w:bottom w:val="nil"/>
          <w:right w:val="nil"/>
          <w:between w:val="nil"/>
        </w:pBdr>
        <w:rPr>
          <w:rFonts w:ascii="Garamond" w:eastAsia="Garamond" w:hAnsi="Garamond" w:cs="Times New Roman"/>
          <w:b/>
          <w:color w:val="000000"/>
        </w:rPr>
      </w:pPr>
      <w:r>
        <w:rPr>
          <w:rFonts w:ascii="Garamond" w:eastAsia="Garamond" w:hAnsi="Garamond" w:cs="Times New Roman"/>
          <w:b/>
          <w:color w:val="000000"/>
        </w:rPr>
        <w:t>Uppsala 2024-09-03</w:t>
      </w:r>
    </w:p>
    <w:p w14:paraId="1C37F817" w14:textId="77777777" w:rsidR="00EA7F76" w:rsidRDefault="00EA7F76" w:rsidP="00E46B78">
      <w:pPr>
        <w:pBdr>
          <w:top w:val="nil"/>
          <w:left w:val="nil"/>
          <w:bottom w:val="nil"/>
          <w:right w:val="nil"/>
          <w:between w:val="nil"/>
        </w:pBdr>
        <w:rPr>
          <w:rFonts w:ascii="Times New Roman" w:eastAsia="Times New Roman" w:hAnsi="Times New Roman" w:cs="Times New Roman"/>
          <w:b/>
          <w:color w:val="000000"/>
        </w:rPr>
      </w:pPr>
    </w:p>
    <w:p w14:paraId="196C8423" w14:textId="77777777" w:rsidR="00E46B78" w:rsidRDefault="00E46B78" w:rsidP="00E46B78">
      <w:pPr>
        <w:pBdr>
          <w:top w:val="nil"/>
          <w:left w:val="nil"/>
          <w:bottom w:val="nil"/>
          <w:right w:val="nil"/>
          <w:between w:val="nil"/>
        </w:pBdr>
        <w:rPr>
          <w:rFonts w:ascii="Times New Roman" w:eastAsia="Times New Roman" w:hAnsi="Times New Roman" w:cs="Times New Roman"/>
          <w:b/>
          <w:color w:val="000000"/>
        </w:rPr>
      </w:pPr>
    </w:p>
    <w:p w14:paraId="481D3840" w14:textId="711774F2" w:rsidR="00E46B78" w:rsidRDefault="00E46B78" w:rsidP="00E46B78">
      <w:pPr>
        <w:pBdr>
          <w:top w:val="nil"/>
          <w:left w:val="nil"/>
          <w:bottom w:val="nil"/>
          <w:right w:val="nil"/>
          <w:between w:val="nil"/>
        </w:pBdr>
        <w:rPr>
          <w:rFonts w:ascii="Times New Roman" w:eastAsia="Times New Roman" w:hAnsi="Times New Roman" w:cs="Times New Roman"/>
          <w:color w:val="000000"/>
        </w:rPr>
      </w:pPr>
      <w:r>
        <w:rPr>
          <w:rFonts w:ascii="Garamond" w:eastAsia="Garamond" w:hAnsi="Garamond" w:cs="Times New Roman"/>
          <w:b/>
          <w:color w:val="000000"/>
        </w:rPr>
        <w:t>Ali Moulavi</w:t>
      </w:r>
      <w:r>
        <w:rPr>
          <w:rFonts w:ascii="Garamond" w:eastAsia="Garamond" w:hAnsi="Garamond" w:cs="Times New Roman"/>
          <w:b/>
          <w:color w:val="000000"/>
        </w:rPr>
        <w:br/>
        <w:t>Egen företagare och elkund</w:t>
      </w:r>
    </w:p>
    <w:p w14:paraId="2403CC50" w14:textId="77777777" w:rsidR="00E46B78" w:rsidRPr="00EA3440" w:rsidRDefault="00E46B78" w:rsidP="00E46B78">
      <w:pPr>
        <w:pBdr>
          <w:top w:val="nil"/>
          <w:left w:val="nil"/>
          <w:bottom w:val="nil"/>
          <w:right w:val="nil"/>
          <w:between w:val="nil"/>
        </w:pBdr>
        <w:rPr>
          <w:rFonts w:ascii="Times New Roman" w:eastAsia="Times New Roman" w:hAnsi="Times New Roman" w:cs="Times New Roman"/>
          <w:color w:val="000000"/>
          <w:lang w:val="en-GB"/>
        </w:rPr>
      </w:pPr>
      <w:r w:rsidRPr="00EA3440">
        <w:rPr>
          <w:rFonts w:ascii="Garamond" w:eastAsia="Garamond" w:hAnsi="Garamond" w:cs="Times New Roman"/>
          <w:color w:val="000000"/>
          <w:sz w:val="22"/>
          <w:lang w:val="en-GB"/>
        </w:rPr>
        <w:t xml:space="preserve">E-mail: </w:t>
      </w:r>
      <w:hyperlink r:id="rId5">
        <w:r w:rsidRPr="00EA3440">
          <w:rPr>
            <w:rFonts w:ascii="Times New Roman" w:eastAsia="Times New Roman" w:hAnsi="Times New Roman" w:cs="Times New Roman"/>
            <w:color w:val="467886"/>
            <w:u w:val="single"/>
            <w:lang w:val="en-GB"/>
          </w:rPr>
          <w:t>moulavi@moulavi.se</w:t>
        </w:r>
      </w:hyperlink>
    </w:p>
    <w:p w14:paraId="29E167AB" w14:textId="40C1E377" w:rsidR="00E46B78" w:rsidRPr="00592524" w:rsidRDefault="00E46B78" w:rsidP="00E46B78">
      <w:pPr>
        <w:rPr>
          <w:lang w:val="en-GB"/>
        </w:rPr>
      </w:pPr>
      <w:r w:rsidRPr="00EA3440">
        <w:rPr>
          <w:rFonts w:ascii="Garamond" w:eastAsia="Garamond" w:hAnsi="Garamond" w:cs="Times New Roman"/>
          <w:color w:val="000000"/>
          <w:sz w:val="22"/>
          <w:lang w:val="en-GB"/>
        </w:rPr>
        <w:t>tel. 0730255408</w:t>
      </w:r>
    </w:p>
    <w:sectPr w:rsidR="00E46B78" w:rsidRPr="00592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webkit-standar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F116A"/>
    <w:multiLevelType w:val="hybridMultilevel"/>
    <w:tmpl w:val="9E6C0EE6"/>
    <w:lvl w:ilvl="0" w:tplc="041D0001">
      <w:start w:val="1"/>
      <w:numFmt w:val="bullet"/>
      <w:lvlText w:val=""/>
      <w:lvlJc w:val="left"/>
      <w:pPr>
        <w:ind w:left="781" w:hanging="360"/>
      </w:pPr>
      <w:rPr>
        <w:rFonts w:ascii="Symbol" w:hAnsi="Symbol" w:hint="default"/>
      </w:rPr>
    </w:lvl>
    <w:lvl w:ilvl="1" w:tplc="041D0003" w:tentative="1">
      <w:start w:val="1"/>
      <w:numFmt w:val="bullet"/>
      <w:lvlText w:val="o"/>
      <w:lvlJc w:val="left"/>
      <w:pPr>
        <w:ind w:left="1501" w:hanging="360"/>
      </w:pPr>
      <w:rPr>
        <w:rFonts w:ascii="Courier New" w:hAnsi="Courier New" w:cs="Courier New" w:hint="default"/>
      </w:rPr>
    </w:lvl>
    <w:lvl w:ilvl="2" w:tplc="041D0005" w:tentative="1">
      <w:start w:val="1"/>
      <w:numFmt w:val="bullet"/>
      <w:lvlText w:val=""/>
      <w:lvlJc w:val="left"/>
      <w:pPr>
        <w:ind w:left="2221" w:hanging="360"/>
      </w:pPr>
      <w:rPr>
        <w:rFonts w:ascii="Wingdings" w:hAnsi="Wingdings" w:hint="default"/>
      </w:rPr>
    </w:lvl>
    <w:lvl w:ilvl="3" w:tplc="041D0001" w:tentative="1">
      <w:start w:val="1"/>
      <w:numFmt w:val="bullet"/>
      <w:lvlText w:val=""/>
      <w:lvlJc w:val="left"/>
      <w:pPr>
        <w:ind w:left="2941" w:hanging="360"/>
      </w:pPr>
      <w:rPr>
        <w:rFonts w:ascii="Symbol" w:hAnsi="Symbol" w:hint="default"/>
      </w:rPr>
    </w:lvl>
    <w:lvl w:ilvl="4" w:tplc="041D0003" w:tentative="1">
      <w:start w:val="1"/>
      <w:numFmt w:val="bullet"/>
      <w:lvlText w:val="o"/>
      <w:lvlJc w:val="left"/>
      <w:pPr>
        <w:ind w:left="3661" w:hanging="360"/>
      </w:pPr>
      <w:rPr>
        <w:rFonts w:ascii="Courier New" w:hAnsi="Courier New" w:cs="Courier New" w:hint="default"/>
      </w:rPr>
    </w:lvl>
    <w:lvl w:ilvl="5" w:tplc="041D0005" w:tentative="1">
      <w:start w:val="1"/>
      <w:numFmt w:val="bullet"/>
      <w:lvlText w:val=""/>
      <w:lvlJc w:val="left"/>
      <w:pPr>
        <w:ind w:left="4381" w:hanging="360"/>
      </w:pPr>
      <w:rPr>
        <w:rFonts w:ascii="Wingdings" w:hAnsi="Wingdings" w:hint="default"/>
      </w:rPr>
    </w:lvl>
    <w:lvl w:ilvl="6" w:tplc="041D0001" w:tentative="1">
      <w:start w:val="1"/>
      <w:numFmt w:val="bullet"/>
      <w:lvlText w:val=""/>
      <w:lvlJc w:val="left"/>
      <w:pPr>
        <w:ind w:left="5101" w:hanging="360"/>
      </w:pPr>
      <w:rPr>
        <w:rFonts w:ascii="Symbol" w:hAnsi="Symbol" w:hint="default"/>
      </w:rPr>
    </w:lvl>
    <w:lvl w:ilvl="7" w:tplc="041D0003" w:tentative="1">
      <w:start w:val="1"/>
      <w:numFmt w:val="bullet"/>
      <w:lvlText w:val="o"/>
      <w:lvlJc w:val="left"/>
      <w:pPr>
        <w:ind w:left="5821" w:hanging="360"/>
      </w:pPr>
      <w:rPr>
        <w:rFonts w:ascii="Courier New" w:hAnsi="Courier New" w:cs="Courier New" w:hint="default"/>
      </w:rPr>
    </w:lvl>
    <w:lvl w:ilvl="8" w:tplc="041D0005" w:tentative="1">
      <w:start w:val="1"/>
      <w:numFmt w:val="bullet"/>
      <w:lvlText w:val=""/>
      <w:lvlJc w:val="left"/>
      <w:pPr>
        <w:ind w:left="6541" w:hanging="360"/>
      </w:pPr>
      <w:rPr>
        <w:rFonts w:ascii="Wingdings" w:hAnsi="Wingdings" w:hint="default"/>
      </w:rPr>
    </w:lvl>
  </w:abstractNum>
  <w:num w:numId="1" w16cid:durableId="71042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8"/>
    <w:rsid w:val="004A2E98"/>
    <w:rsid w:val="00592524"/>
    <w:rsid w:val="00E46B78"/>
    <w:rsid w:val="00EA7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9C44"/>
  <w15:chartTrackingRefBased/>
  <w15:docId w15:val="{0E9C698D-92B6-4488-81DC-DF77906A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78"/>
    <w:pPr>
      <w:spacing w:after="0" w:line="240" w:lineRule="auto"/>
    </w:pPr>
    <w:rPr>
      <w:rFonts w:ascii="Aptos" w:eastAsia="Aptos" w:hAnsi="Aptos" w:cs="Aptos"/>
      <w:kern w:val="0"/>
      <w:lang w:eastAsia="sv-SE"/>
      <w14:ligatures w14:val="none"/>
    </w:rPr>
  </w:style>
  <w:style w:type="paragraph" w:styleId="Rubrik1">
    <w:name w:val="heading 1"/>
    <w:basedOn w:val="Normal"/>
    <w:next w:val="Normal"/>
    <w:link w:val="Rubrik1Char"/>
    <w:uiPriority w:val="9"/>
    <w:qFormat/>
    <w:rsid w:val="00E46B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E46B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E46B7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E46B7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E46B7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E46B7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E46B7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E46B7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E46B7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6B7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46B7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46B7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46B7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46B7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46B7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46B7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46B7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46B78"/>
    <w:rPr>
      <w:rFonts w:eastAsiaTheme="majorEastAsia" w:cstheme="majorBidi"/>
      <w:color w:val="272727" w:themeColor="text1" w:themeTint="D8"/>
    </w:rPr>
  </w:style>
  <w:style w:type="paragraph" w:styleId="Rubrik">
    <w:name w:val="Title"/>
    <w:basedOn w:val="Normal"/>
    <w:next w:val="Normal"/>
    <w:link w:val="RubrikChar"/>
    <w:uiPriority w:val="10"/>
    <w:qFormat/>
    <w:rsid w:val="00E46B7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E46B7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46B7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E46B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46B7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E46B78"/>
    <w:rPr>
      <w:i/>
      <w:iCs/>
      <w:color w:val="404040" w:themeColor="text1" w:themeTint="BF"/>
    </w:rPr>
  </w:style>
  <w:style w:type="paragraph" w:styleId="Liststycke">
    <w:name w:val="List Paragraph"/>
    <w:basedOn w:val="Normal"/>
    <w:uiPriority w:val="34"/>
    <w:qFormat/>
    <w:rsid w:val="00E46B7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Starkbetoning">
    <w:name w:val="Intense Emphasis"/>
    <w:basedOn w:val="Standardstycketeckensnitt"/>
    <w:uiPriority w:val="21"/>
    <w:qFormat/>
    <w:rsid w:val="00E46B78"/>
    <w:rPr>
      <w:i/>
      <w:iCs/>
      <w:color w:val="0F4761" w:themeColor="accent1" w:themeShade="BF"/>
    </w:rPr>
  </w:style>
  <w:style w:type="paragraph" w:styleId="Starktcitat">
    <w:name w:val="Intense Quote"/>
    <w:basedOn w:val="Normal"/>
    <w:next w:val="Normal"/>
    <w:link w:val="StarktcitatChar"/>
    <w:uiPriority w:val="30"/>
    <w:qFormat/>
    <w:rsid w:val="00E46B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E46B78"/>
    <w:rPr>
      <w:i/>
      <w:iCs/>
      <w:color w:val="0F4761" w:themeColor="accent1" w:themeShade="BF"/>
    </w:rPr>
  </w:style>
  <w:style w:type="character" w:styleId="Starkreferens">
    <w:name w:val="Intense Reference"/>
    <w:basedOn w:val="Standardstycketeckensnitt"/>
    <w:uiPriority w:val="32"/>
    <w:qFormat/>
    <w:rsid w:val="00E46B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ulavi@moulavi.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962</Words>
  <Characters>5101</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Moulavi</dc:creator>
  <cp:keywords/>
  <dc:description/>
  <cp:lastModifiedBy>Moulavi</cp:lastModifiedBy>
  <cp:revision>3</cp:revision>
  <dcterms:created xsi:type="dcterms:W3CDTF">2025-06-18T06:53:00Z</dcterms:created>
  <dcterms:modified xsi:type="dcterms:W3CDTF">2025-06-18T07:42:00Z</dcterms:modified>
</cp:coreProperties>
</file>